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FA1" w:rsidRPr="00744A5A" w:rsidRDefault="00924FA1">
      <w:pPr>
        <w:spacing w:line="1" w:lineRule="exact"/>
        <w:rPr>
          <w:rFonts w:ascii="Arial" w:hAnsi="Arial" w:cs="Arial"/>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384"/>
        <w:gridCol w:w="5199"/>
        <w:gridCol w:w="132"/>
      </w:tblGrid>
      <w:tr w:rsidR="00744A5A" w:rsidRPr="007A5128" w:rsidTr="0035127F">
        <w:trPr>
          <w:gridAfter w:val="1"/>
          <w:wAfter w:w="132" w:type="dxa"/>
          <w:trHeight w:val="1995"/>
        </w:trPr>
        <w:tc>
          <w:tcPr>
            <w:tcW w:w="4075" w:type="dxa"/>
            <w:gridSpan w:val="2"/>
            <w:hideMark/>
          </w:tcPr>
          <w:p w:rsidR="00744A5A" w:rsidRDefault="00744A5A" w:rsidP="00744A5A">
            <w:pPr>
              <w:pStyle w:val="Vnbnnidung0"/>
              <w:spacing w:after="0" w:line="223" w:lineRule="auto"/>
              <w:ind w:firstLine="0"/>
              <w:jc w:val="center"/>
              <w:rPr>
                <w:rFonts w:ascii="Arial" w:hAnsi="Arial" w:cs="Arial"/>
                <w:sz w:val="20"/>
                <w:szCs w:val="20"/>
              </w:rPr>
            </w:pPr>
            <w:r>
              <w:rPr>
                <w:rFonts w:ascii="Arial" w:hAnsi="Arial" w:cs="Arial"/>
                <w:sz w:val="20"/>
                <w:szCs w:val="20"/>
                <w:lang w:val="en-US"/>
              </w:rPr>
              <w:t>T</w:t>
            </w:r>
            <w:r w:rsidRPr="00744A5A">
              <w:rPr>
                <w:rFonts w:ascii="Arial" w:hAnsi="Arial" w:cs="Arial"/>
                <w:sz w:val="20"/>
                <w:szCs w:val="20"/>
              </w:rPr>
              <w:t>ỔNG CỤC THUẾ</w:t>
            </w:r>
          </w:p>
          <w:p w:rsidR="00744A5A" w:rsidRDefault="00744A5A" w:rsidP="00744A5A">
            <w:pPr>
              <w:pStyle w:val="Vnbnnidung0"/>
              <w:spacing w:after="0" w:line="223" w:lineRule="auto"/>
              <w:ind w:firstLine="0"/>
              <w:jc w:val="center"/>
              <w:rPr>
                <w:rFonts w:ascii="Arial" w:hAnsi="Arial" w:cs="Arial"/>
                <w:b/>
                <w:bCs/>
                <w:sz w:val="20"/>
                <w:szCs w:val="20"/>
              </w:rPr>
            </w:pPr>
            <w:r w:rsidRPr="00744A5A">
              <w:rPr>
                <w:rFonts w:ascii="Arial" w:hAnsi="Arial" w:cs="Arial"/>
                <w:b/>
                <w:bCs/>
                <w:sz w:val="20"/>
                <w:szCs w:val="20"/>
              </w:rPr>
              <w:t>CỤC THUẾ TỈNH SƠN LA</w:t>
            </w:r>
          </w:p>
          <w:p w:rsidR="00744A5A" w:rsidRPr="008D4794" w:rsidRDefault="00744A5A" w:rsidP="00744A5A">
            <w:pPr>
              <w:pStyle w:val="Vnbnnidung0"/>
              <w:spacing w:after="0" w:line="223" w:lineRule="auto"/>
              <w:ind w:firstLine="0"/>
              <w:jc w:val="center"/>
              <w:rPr>
                <w:rFonts w:ascii="Arial" w:hAnsi="Arial" w:cs="Arial"/>
                <w:sz w:val="20"/>
                <w:szCs w:val="20"/>
              </w:rPr>
            </w:pPr>
            <w:r w:rsidRPr="00744A5A">
              <w:rPr>
                <w:rFonts w:ascii="Arial" w:hAnsi="Arial" w:cs="Arial"/>
                <w:sz w:val="20"/>
                <w:szCs w:val="20"/>
              </w:rPr>
              <w:t>Số: 110 /CTSLA-TTHT</w:t>
            </w:r>
            <w:r w:rsidRPr="00744A5A">
              <w:rPr>
                <w:rFonts w:ascii="Arial" w:hAnsi="Arial" w:cs="Arial"/>
                <w:sz w:val="20"/>
                <w:szCs w:val="20"/>
              </w:rPr>
              <w:br/>
            </w:r>
            <w:r>
              <w:rPr>
                <w:rFonts w:ascii="Arial" w:hAnsi="Arial" w:cs="Arial"/>
                <w:sz w:val="20"/>
                <w:szCs w:val="20"/>
                <w:lang w:val="en-US"/>
              </w:rPr>
              <w:t>V</w:t>
            </w:r>
            <w:r>
              <w:rPr>
                <w:rFonts w:ascii="Arial" w:hAnsi="Arial" w:cs="Arial"/>
                <w:sz w:val="20"/>
                <w:szCs w:val="20"/>
              </w:rPr>
              <w:t>/v hướng dẫn chính sách t</w:t>
            </w:r>
            <w:r w:rsidRPr="00744A5A">
              <w:rPr>
                <w:rFonts w:ascii="Arial" w:hAnsi="Arial" w:cs="Arial"/>
                <w:sz w:val="20"/>
                <w:szCs w:val="20"/>
              </w:rPr>
              <w:t>hu, nộp phí và lệ phí</w:t>
            </w:r>
            <w:bookmarkStart w:id="0" w:name="_GoBack"/>
            <w:bookmarkEnd w:id="0"/>
          </w:p>
        </w:tc>
        <w:tc>
          <w:tcPr>
            <w:tcW w:w="5199" w:type="dxa"/>
            <w:hideMark/>
          </w:tcPr>
          <w:p w:rsidR="00744A5A" w:rsidRPr="00143703" w:rsidRDefault="00744A5A" w:rsidP="0035127F">
            <w:pPr>
              <w:pStyle w:val="Vnbnnidung0"/>
              <w:ind w:left="360" w:right="440" w:firstLine="0"/>
              <w:jc w:val="center"/>
              <w:rPr>
                <w:rFonts w:ascii="Arial" w:hAnsi="Arial" w:cs="Arial"/>
                <w:b/>
                <w:bCs/>
                <w:i/>
                <w:sz w:val="20"/>
                <w:szCs w:val="20"/>
              </w:rPr>
            </w:pPr>
            <w:r w:rsidRPr="00143703">
              <w:rPr>
                <w:rFonts w:ascii="Arial" w:hAnsi="Arial" w:cs="Arial"/>
                <w:b/>
                <w:bCs/>
                <w:sz w:val="20"/>
                <w:szCs w:val="20"/>
              </w:rPr>
              <w:t>CỘNG HOÀ XÃ HỘI CHỦ NGHĨA VIỆT NAM</w:t>
            </w:r>
          </w:p>
          <w:p w:rsidR="00744A5A" w:rsidRPr="00143703" w:rsidRDefault="00744A5A" w:rsidP="0035127F">
            <w:pPr>
              <w:pStyle w:val="Vnbnnidung0"/>
              <w:ind w:left="360" w:right="440" w:firstLine="0"/>
              <w:jc w:val="center"/>
              <w:rPr>
                <w:rFonts w:ascii="Arial" w:hAnsi="Arial" w:cs="Arial"/>
                <w:b/>
                <w:bCs/>
                <w:i/>
                <w:sz w:val="20"/>
                <w:szCs w:val="20"/>
              </w:rPr>
            </w:pPr>
            <w:r w:rsidRPr="00143703">
              <w:rPr>
                <w:rFonts w:ascii="Arial" w:hAnsi="Arial" w:cs="Arial"/>
                <w:b/>
                <w:bCs/>
                <w:sz w:val="20"/>
                <w:szCs w:val="20"/>
              </w:rPr>
              <w:t>Độc lập - Tự do - Hạnh phúc</w:t>
            </w:r>
          </w:p>
          <w:p w:rsidR="00744A5A" w:rsidRPr="007A5128" w:rsidRDefault="00744A5A" w:rsidP="00744A5A">
            <w:pPr>
              <w:pStyle w:val="Vnbnnidung0"/>
              <w:spacing w:after="620"/>
              <w:ind w:firstLine="0"/>
              <w:jc w:val="right"/>
              <w:rPr>
                <w:rFonts w:ascii="Arial" w:hAnsi="Arial" w:cs="Arial"/>
                <w:sz w:val="20"/>
                <w:szCs w:val="20"/>
              </w:rPr>
            </w:pPr>
            <w:r>
              <w:rPr>
                <w:rFonts w:ascii="Arial" w:hAnsi="Arial" w:cs="Arial"/>
                <w:sz w:val="20"/>
                <w:szCs w:val="20"/>
                <w:lang w:val="en-US"/>
              </w:rPr>
              <w:t>Sơn La</w:t>
            </w:r>
            <w:r w:rsidRPr="00D22D93">
              <w:rPr>
                <w:rFonts w:ascii="Arial" w:hAnsi="Arial" w:cs="Arial"/>
                <w:sz w:val="20"/>
                <w:szCs w:val="20"/>
              </w:rPr>
              <w:t xml:space="preserve">, </w:t>
            </w:r>
            <w:r w:rsidRPr="00D22D93">
              <w:rPr>
                <w:rFonts w:ascii="Arial" w:hAnsi="Arial" w:cs="Arial"/>
                <w:color w:val="122551"/>
                <w:sz w:val="20"/>
                <w:szCs w:val="20"/>
              </w:rPr>
              <w:t>ngày</w:t>
            </w:r>
            <w:r>
              <w:rPr>
                <w:rFonts w:ascii="Arial" w:hAnsi="Arial" w:cs="Arial"/>
                <w:color w:val="122551"/>
                <w:sz w:val="20"/>
                <w:szCs w:val="20"/>
                <w:lang w:val="en-US"/>
              </w:rPr>
              <w:t xml:space="preserve"> 2</w:t>
            </w:r>
            <w:r>
              <w:rPr>
                <w:rFonts w:ascii="Arial" w:hAnsi="Arial" w:cs="Arial"/>
                <w:color w:val="122551"/>
                <w:sz w:val="20"/>
                <w:szCs w:val="20"/>
                <w:lang w:val="en-US"/>
              </w:rPr>
              <w:t>3</w:t>
            </w:r>
            <w:r>
              <w:rPr>
                <w:rFonts w:ascii="Arial" w:hAnsi="Arial" w:cs="Arial"/>
                <w:color w:val="122551"/>
                <w:sz w:val="20"/>
                <w:szCs w:val="20"/>
                <w:lang w:val="en-US"/>
              </w:rPr>
              <w:t xml:space="preserve"> </w:t>
            </w:r>
            <w:r w:rsidRPr="00D22D93">
              <w:rPr>
                <w:rFonts w:ascii="Arial" w:hAnsi="Arial" w:cs="Arial"/>
                <w:sz w:val="20"/>
                <w:szCs w:val="20"/>
              </w:rPr>
              <w:t>tháng 01 năm 2025</w:t>
            </w:r>
          </w:p>
        </w:tc>
      </w:tr>
      <w:tr w:rsidR="00744A5A" w:rsidRPr="00D22D93" w:rsidTr="0035127F">
        <w:trPr>
          <w:trHeight w:val="698"/>
        </w:trPr>
        <w:tc>
          <w:tcPr>
            <w:tcW w:w="3691" w:type="dxa"/>
            <w:hideMark/>
          </w:tcPr>
          <w:p w:rsidR="00744A5A" w:rsidRPr="00CC7380" w:rsidRDefault="00744A5A" w:rsidP="0035127F">
            <w:pPr>
              <w:pStyle w:val="Vnbnnidung0"/>
              <w:ind w:right="440" w:firstLine="0"/>
              <w:jc w:val="right"/>
              <w:rPr>
                <w:rFonts w:ascii="Arial" w:hAnsi="Arial" w:cs="Arial"/>
                <w:sz w:val="20"/>
                <w:szCs w:val="20"/>
              </w:rPr>
            </w:pPr>
            <w:r w:rsidRPr="00CC7380">
              <w:rPr>
                <w:rFonts w:ascii="Arial" w:hAnsi="Arial" w:cs="Arial"/>
                <w:sz w:val="20"/>
                <w:szCs w:val="20"/>
              </w:rPr>
              <w:t>Kính gửi:</w:t>
            </w:r>
          </w:p>
        </w:tc>
        <w:tc>
          <w:tcPr>
            <w:tcW w:w="5715" w:type="dxa"/>
            <w:gridSpan w:val="3"/>
            <w:hideMark/>
          </w:tcPr>
          <w:p w:rsidR="00744A5A" w:rsidRPr="008D4794" w:rsidRDefault="00744A5A" w:rsidP="0035127F">
            <w:pPr>
              <w:pStyle w:val="Vnbnnidung0"/>
              <w:spacing w:after="0" w:line="269" w:lineRule="auto"/>
              <w:ind w:firstLine="0"/>
              <w:rPr>
                <w:rFonts w:ascii="Arial" w:hAnsi="Arial" w:cs="Arial"/>
                <w:i/>
                <w:sz w:val="20"/>
                <w:szCs w:val="20"/>
              </w:rPr>
            </w:pPr>
            <w:r w:rsidRPr="00744A5A">
              <w:rPr>
                <w:rFonts w:ascii="Arial" w:hAnsi="Arial" w:cs="Arial"/>
                <w:sz w:val="20"/>
                <w:szCs w:val="20"/>
              </w:rPr>
              <w:t>Trung tâm công nghệ thông tin tài nguyên và môi trường</w:t>
            </w:r>
            <w:r w:rsidRPr="00744A5A">
              <w:rPr>
                <w:rFonts w:ascii="Arial" w:hAnsi="Arial" w:cs="Arial"/>
                <w:sz w:val="20"/>
                <w:szCs w:val="20"/>
              </w:rPr>
              <w:br/>
            </w:r>
            <w:r w:rsidRPr="00744A5A">
              <w:rPr>
                <w:rFonts w:ascii="Arial" w:hAnsi="Arial" w:cs="Arial"/>
                <w:iCs/>
                <w:sz w:val="20"/>
                <w:szCs w:val="20"/>
              </w:rPr>
              <w:t>Địa chỉ: Tổ 8, phường Tô Hiệu, thành phố Sơn La</w:t>
            </w:r>
          </w:p>
        </w:tc>
      </w:tr>
    </w:tbl>
    <w:p w:rsidR="00924FA1" w:rsidRPr="00744A5A" w:rsidRDefault="00744A5A" w:rsidP="00744A5A">
      <w:pPr>
        <w:pStyle w:val="Vnbnnidung0"/>
        <w:spacing w:after="120"/>
        <w:ind w:firstLine="284"/>
        <w:rPr>
          <w:rFonts w:ascii="Arial" w:hAnsi="Arial" w:cs="Arial"/>
          <w:sz w:val="20"/>
          <w:szCs w:val="20"/>
        </w:rPr>
      </w:pPr>
      <w:r>
        <w:rPr>
          <w:rFonts w:ascii="Arial" w:hAnsi="Arial" w:cs="Arial"/>
          <w:sz w:val="20"/>
          <w:szCs w:val="20"/>
          <w:lang w:val="en-US"/>
        </w:rPr>
        <w:t>C</w:t>
      </w:r>
      <w:r w:rsidR="007A7092" w:rsidRPr="00744A5A">
        <w:rPr>
          <w:rFonts w:ascii="Arial" w:hAnsi="Arial" w:cs="Arial"/>
          <w:sz w:val="20"/>
          <w:szCs w:val="20"/>
        </w:rPr>
        <w:t>ục Thuế tỉnh Sơn La nhận được Công văn số 07/CNTT-HCTH ngày 20/01/2025 của Trung tâm công nghệ thông tin Tài nguyên và môi trường về việc đề nghị hướng dẫn thu, nộp phí, lệ phí; Cục Thuế</w:t>
      </w:r>
      <w:r w:rsidR="007A7092" w:rsidRPr="00744A5A">
        <w:rPr>
          <w:rFonts w:ascii="Arial" w:hAnsi="Arial" w:cs="Arial"/>
          <w:sz w:val="20"/>
          <w:szCs w:val="20"/>
        </w:rPr>
        <w:t xml:space="preserve"> có ý kiến như sau:</w:t>
      </w:r>
    </w:p>
    <w:p w:rsidR="00924FA1" w:rsidRPr="00744A5A" w:rsidRDefault="00744A5A" w:rsidP="00744A5A">
      <w:pPr>
        <w:pStyle w:val="Vnbnnidung0"/>
        <w:tabs>
          <w:tab w:val="left" w:pos="834"/>
        </w:tabs>
        <w:spacing w:after="120"/>
        <w:ind w:firstLine="284"/>
        <w:rPr>
          <w:rFonts w:ascii="Arial" w:hAnsi="Arial" w:cs="Arial"/>
          <w:sz w:val="20"/>
          <w:szCs w:val="20"/>
        </w:rPr>
      </w:pPr>
      <w:bookmarkStart w:id="1" w:name="bookmark0"/>
      <w:bookmarkEnd w:id="1"/>
      <w:r>
        <w:rPr>
          <w:rFonts w:ascii="Arial" w:hAnsi="Arial" w:cs="Arial"/>
          <w:sz w:val="20"/>
          <w:szCs w:val="20"/>
          <w:lang w:val="en-US"/>
        </w:rPr>
        <w:t xml:space="preserve">- </w:t>
      </w:r>
      <w:r w:rsidR="007A7092" w:rsidRPr="00744A5A">
        <w:rPr>
          <w:rFonts w:ascii="Arial" w:hAnsi="Arial" w:cs="Arial"/>
          <w:sz w:val="20"/>
          <w:szCs w:val="20"/>
        </w:rPr>
        <w:t>Tại Điều 3, Khoản 1, Điều 6 Thông tư số 65/2023/TT-BTC ngày 31/10/2023 của Bộ Tài chính quy định mức thu, chế độ thu, nộp, quản lý và sử dụng phí khai thác và sử dụng dữ liệu về môi trường quy định:</w:t>
      </w:r>
    </w:p>
    <w:p w:rsidR="00924FA1" w:rsidRPr="00744A5A" w:rsidRDefault="007A7092" w:rsidP="00744A5A">
      <w:pPr>
        <w:pStyle w:val="Vnbnnidung0"/>
        <w:spacing w:after="120"/>
        <w:ind w:firstLine="284"/>
        <w:rPr>
          <w:rFonts w:ascii="Arial" w:hAnsi="Arial" w:cs="Arial"/>
          <w:sz w:val="20"/>
          <w:szCs w:val="20"/>
        </w:rPr>
      </w:pPr>
      <w:r w:rsidRPr="00744A5A">
        <w:rPr>
          <w:rFonts w:ascii="Arial" w:hAnsi="Arial" w:cs="Arial"/>
          <w:b/>
          <w:bCs/>
          <w:i/>
          <w:iCs/>
          <w:sz w:val="20"/>
          <w:szCs w:val="20"/>
        </w:rPr>
        <w:t>“Điều 3. Tổ chức thu phí</w:t>
      </w:r>
    </w:p>
    <w:p w:rsidR="00924FA1" w:rsidRPr="00744A5A" w:rsidRDefault="007A7092" w:rsidP="00744A5A">
      <w:pPr>
        <w:pStyle w:val="Vnbnnidung0"/>
        <w:spacing w:after="120"/>
        <w:ind w:firstLine="284"/>
        <w:rPr>
          <w:rFonts w:ascii="Arial" w:hAnsi="Arial" w:cs="Arial"/>
          <w:sz w:val="20"/>
          <w:szCs w:val="20"/>
        </w:rPr>
      </w:pPr>
      <w:r w:rsidRPr="00744A5A">
        <w:rPr>
          <w:rFonts w:ascii="Arial" w:hAnsi="Arial" w:cs="Arial"/>
          <w:i/>
          <w:iCs/>
          <w:sz w:val="20"/>
          <w:szCs w:val="20"/>
        </w:rPr>
        <w:t xml:space="preserve">Tổ chức thu </w:t>
      </w:r>
      <w:r w:rsidRPr="00744A5A">
        <w:rPr>
          <w:rFonts w:ascii="Arial" w:hAnsi="Arial" w:cs="Arial"/>
          <w:i/>
          <w:iCs/>
          <w:sz w:val="20"/>
          <w:szCs w:val="20"/>
        </w:rPr>
        <w:t xml:space="preserve">phí theo quy định tại Thông tư này là cơ quan có thẩm quyền cung cấp dữ liệu về môi trường theo quy định tại Điều 24 Nghị định số 73/2017/NĐ-CP ngày 14 tháng 6 năm 2017 của Chính phủ về thu thập, quản lý, khai thác và sử dụng thông tin, dữ liệu tài nguyên </w:t>
      </w:r>
      <w:r w:rsidRPr="00744A5A">
        <w:rPr>
          <w:rFonts w:ascii="Arial" w:hAnsi="Arial" w:cs="Arial"/>
          <w:i/>
          <w:iCs/>
          <w:sz w:val="20"/>
          <w:szCs w:val="20"/>
        </w:rPr>
        <w:t>và môi trường.”</w:t>
      </w:r>
    </w:p>
    <w:p w:rsidR="00924FA1" w:rsidRPr="00744A5A" w:rsidRDefault="007A7092" w:rsidP="00744A5A">
      <w:pPr>
        <w:pStyle w:val="Vnbnnidung0"/>
        <w:spacing w:after="120"/>
        <w:ind w:firstLine="284"/>
        <w:rPr>
          <w:rFonts w:ascii="Arial" w:hAnsi="Arial" w:cs="Arial"/>
          <w:sz w:val="20"/>
          <w:szCs w:val="20"/>
        </w:rPr>
      </w:pPr>
      <w:r w:rsidRPr="00744A5A">
        <w:rPr>
          <w:rFonts w:ascii="Arial" w:hAnsi="Arial" w:cs="Arial"/>
          <w:i/>
          <w:iCs/>
          <w:sz w:val="20"/>
          <w:szCs w:val="20"/>
        </w:rPr>
        <w:t xml:space="preserve">... </w:t>
      </w:r>
      <w:r w:rsidRPr="00744A5A">
        <w:rPr>
          <w:rFonts w:ascii="Arial" w:hAnsi="Arial" w:cs="Arial"/>
          <w:b/>
          <w:bCs/>
          <w:i/>
          <w:iCs/>
          <w:sz w:val="20"/>
          <w:szCs w:val="20"/>
        </w:rPr>
        <w:t>Điều 6. Quản lý và sử dụng phí</w:t>
      </w:r>
    </w:p>
    <w:p w:rsidR="00924FA1" w:rsidRPr="00744A5A" w:rsidRDefault="007A7092" w:rsidP="00744A5A">
      <w:pPr>
        <w:pStyle w:val="Vnbnnidung0"/>
        <w:spacing w:after="120"/>
        <w:ind w:firstLine="284"/>
        <w:rPr>
          <w:rFonts w:ascii="Arial" w:hAnsi="Arial" w:cs="Arial"/>
          <w:sz w:val="20"/>
          <w:szCs w:val="20"/>
        </w:rPr>
      </w:pPr>
      <w:r w:rsidRPr="00744A5A">
        <w:rPr>
          <w:rFonts w:ascii="Arial" w:hAnsi="Arial" w:cs="Arial"/>
          <w:i/>
          <w:iCs/>
          <w:sz w:val="20"/>
          <w:szCs w:val="20"/>
        </w:rPr>
        <w:t xml:space="preserve">1. Tổ chức thu phí được trích lại 70% số tiền phí thu được để trang trải chi phí cho hoạt động cung cấp dịch vụ, thu phí theo quy định tại Điều 5 Nghị định số 120/2016/NĐ-CP ngày 23 tháng 8 năm 2016 của </w:t>
      </w:r>
      <w:r w:rsidRPr="00744A5A">
        <w:rPr>
          <w:rFonts w:ascii="Arial" w:hAnsi="Arial" w:cs="Arial"/>
          <w:i/>
          <w:iCs/>
          <w:sz w:val="20"/>
          <w:szCs w:val="20"/>
        </w:rPr>
        <w:t>Chính phủ quy định chi tiết và hướng dân thi hành một số điều của Luật Phí và lệ phí, nộp 30% số tiền phí thu được vào ngân sách nhà nước theo Chương, Tiểu mục tương ứng của Mục lục ngân sách nhà nước.”</w:t>
      </w:r>
    </w:p>
    <w:p w:rsidR="00924FA1" w:rsidRPr="00744A5A" w:rsidRDefault="00744A5A" w:rsidP="00744A5A">
      <w:pPr>
        <w:pStyle w:val="Vnbnnidung0"/>
        <w:tabs>
          <w:tab w:val="left" w:pos="843"/>
        </w:tabs>
        <w:spacing w:after="120"/>
        <w:ind w:firstLine="284"/>
        <w:rPr>
          <w:rFonts w:ascii="Arial" w:hAnsi="Arial" w:cs="Arial"/>
          <w:sz w:val="20"/>
          <w:szCs w:val="20"/>
        </w:rPr>
      </w:pPr>
      <w:bookmarkStart w:id="2" w:name="bookmark1"/>
      <w:bookmarkEnd w:id="2"/>
      <w:r>
        <w:rPr>
          <w:rFonts w:ascii="Arial" w:hAnsi="Arial" w:cs="Arial"/>
          <w:sz w:val="20"/>
          <w:szCs w:val="20"/>
          <w:lang w:val="en-US"/>
        </w:rPr>
        <w:t xml:space="preserve">- </w:t>
      </w:r>
      <w:r w:rsidR="007A7092" w:rsidRPr="00744A5A">
        <w:rPr>
          <w:rFonts w:ascii="Arial" w:hAnsi="Arial" w:cs="Arial"/>
          <w:sz w:val="20"/>
          <w:szCs w:val="20"/>
        </w:rPr>
        <w:t>Tại Điều 3, Khoản 1, Điều 6 Thông tư số 11/2024/TT-BT</w:t>
      </w:r>
      <w:r w:rsidR="007A7092" w:rsidRPr="00744A5A">
        <w:rPr>
          <w:rFonts w:ascii="Arial" w:hAnsi="Arial" w:cs="Arial"/>
          <w:sz w:val="20"/>
          <w:szCs w:val="20"/>
        </w:rPr>
        <w:t>C ngày 05/02/2024 của Bộ Tài chính quy định mức thu, chế độ thu, nộp, quản lý và sử dụng phí khai thác và sử dụng tài liệu địa chất, khoáng sản quy định:</w:t>
      </w:r>
    </w:p>
    <w:p w:rsidR="00924FA1" w:rsidRPr="00744A5A" w:rsidRDefault="007A7092" w:rsidP="00744A5A">
      <w:pPr>
        <w:pStyle w:val="Vnbnnidung0"/>
        <w:spacing w:after="120"/>
        <w:ind w:firstLine="284"/>
        <w:rPr>
          <w:rFonts w:ascii="Arial" w:hAnsi="Arial" w:cs="Arial"/>
          <w:sz w:val="20"/>
          <w:szCs w:val="20"/>
        </w:rPr>
      </w:pPr>
      <w:r w:rsidRPr="00744A5A">
        <w:rPr>
          <w:rFonts w:ascii="Arial" w:hAnsi="Arial" w:cs="Arial"/>
          <w:b/>
          <w:bCs/>
          <w:i/>
          <w:iCs/>
          <w:sz w:val="20"/>
          <w:szCs w:val="20"/>
        </w:rPr>
        <w:t>“Điều 3. Tổ chức thu phí</w:t>
      </w:r>
    </w:p>
    <w:p w:rsidR="00924FA1" w:rsidRPr="00744A5A" w:rsidRDefault="007A7092" w:rsidP="00744A5A">
      <w:pPr>
        <w:pStyle w:val="Vnbnnidung0"/>
        <w:spacing w:after="120"/>
        <w:ind w:firstLine="284"/>
        <w:rPr>
          <w:rFonts w:ascii="Arial" w:hAnsi="Arial" w:cs="Arial"/>
          <w:sz w:val="20"/>
          <w:szCs w:val="20"/>
        </w:rPr>
      </w:pPr>
      <w:r w:rsidRPr="00744A5A">
        <w:rPr>
          <w:rFonts w:ascii="Arial" w:hAnsi="Arial" w:cs="Arial"/>
          <w:i/>
          <w:iCs/>
          <w:sz w:val="20"/>
          <w:szCs w:val="20"/>
        </w:rPr>
        <w:t>Tổ chức thu phí theo quy định tại Thông tư này là các cơ quan có thẩm quyền c</w:t>
      </w:r>
      <w:r w:rsidRPr="00744A5A">
        <w:rPr>
          <w:rFonts w:ascii="Arial" w:hAnsi="Arial" w:cs="Arial"/>
          <w:i/>
          <w:iCs/>
          <w:sz w:val="20"/>
          <w:szCs w:val="20"/>
        </w:rPr>
        <w:t>ung cấp tài liệu địa chất, khoáng sản theo quy định của pháp luật.</w:t>
      </w:r>
    </w:p>
    <w:p w:rsidR="00924FA1" w:rsidRPr="00744A5A" w:rsidRDefault="007A7092" w:rsidP="00744A5A">
      <w:pPr>
        <w:pStyle w:val="Vnbnnidung0"/>
        <w:spacing w:after="120"/>
        <w:ind w:firstLine="284"/>
        <w:rPr>
          <w:rFonts w:ascii="Arial" w:hAnsi="Arial" w:cs="Arial"/>
          <w:sz w:val="20"/>
          <w:szCs w:val="20"/>
        </w:rPr>
      </w:pPr>
      <w:r w:rsidRPr="00744A5A">
        <w:rPr>
          <w:rFonts w:ascii="Arial" w:hAnsi="Arial" w:cs="Arial"/>
          <w:b/>
          <w:bCs/>
          <w:i/>
          <w:iCs/>
          <w:sz w:val="20"/>
          <w:szCs w:val="20"/>
        </w:rPr>
        <w:t>...Điều 6. Quản lý và sử dụng phí</w:t>
      </w:r>
    </w:p>
    <w:p w:rsidR="00924FA1" w:rsidRPr="00744A5A" w:rsidRDefault="007A7092" w:rsidP="00744A5A">
      <w:pPr>
        <w:pStyle w:val="Vnbnnidung0"/>
        <w:spacing w:after="120"/>
        <w:ind w:firstLine="284"/>
        <w:rPr>
          <w:rFonts w:ascii="Arial" w:hAnsi="Arial" w:cs="Arial"/>
          <w:sz w:val="20"/>
          <w:szCs w:val="20"/>
        </w:rPr>
      </w:pPr>
      <w:r w:rsidRPr="00744A5A">
        <w:rPr>
          <w:rFonts w:ascii="Arial" w:hAnsi="Arial" w:cs="Arial"/>
          <w:i/>
          <w:iCs/>
          <w:sz w:val="20"/>
          <w:szCs w:val="20"/>
        </w:rPr>
        <w:t>1. T</w:t>
      </w:r>
      <w:r w:rsidR="00744A5A">
        <w:rPr>
          <w:rFonts w:ascii="Arial" w:hAnsi="Arial" w:cs="Arial"/>
          <w:i/>
          <w:iCs/>
          <w:sz w:val="20"/>
          <w:szCs w:val="20"/>
          <w:lang w:val="en-US"/>
        </w:rPr>
        <w:t>ổ</w:t>
      </w:r>
      <w:r w:rsidRPr="00744A5A">
        <w:rPr>
          <w:rFonts w:ascii="Arial" w:hAnsi="Arial" w:cs="Arial"/>
          <w:i/>
          <w:iCs/>
          <w:sz w:val="20"/>
          <w:szCs w:val="20"/>
        </w:rPr>
        <w:t xml:space="preserve"> chức thu phí được trích để lại 60% số tiền phí thu được để trang trải chi phí cho hoạt động cung cấp dịch vụ, thu phí theo quy định tại khoản 4 Điều </w:t>
      </w:r>
      <w:r w:rsidRPr="00744A5A">
        <w:rPr>
          <w:rFonts w:ascii="Arial" w:hAnsi="Arial" w:cs="Arial"/>
          <w:i/>
          <w:iCs/>
          <w:sz w:val="20"/>
          <w:szCs w:val="20"/>
        </w:rPr>
        <w:t>1 Nghị định số 82/2023/NĐ-CP ngày 28 tháng 11 năm 2023 của Chính phủ sửa đổi, bổ sung một số điều của Nghị định số 120/2016/NĐ-CP ngày 23 tháng 8 năm 2016 của Chính phủ quy định chi tiết và hướng dân thi hành một số điều của Luật Phí và lệ phí và nộp 40% s</w:t>
      </w:r>
      <w:r w:rsidRPr="00744A5A">
        <w:rPr>
          <w:rFonts w:ascii="Arial" w:hAnsi="Arial" w:cs="Arial"/>
          <w:i/>
          <w:iCs/>
          <w:sz w:val="20"/>
          <w:szCs w:val="20"/>
        </w:rPr>
        <w:t>ố tiền phí thu được vào ngân sách nhà nước theo chương, tiểu mục của Mục lục ngân sách nhà nước.”</w:t>
      </w:r>
    </w:p>
    <w:p w:rsidR="00924FA1" w:rsidRPr="00744A5A" w:rsidRDefault="00744A5A" w:rsidP="00744A5A">
      <w:pPr>
        <w:pStyle w:val="Vnbnnidung0"/>
        <w:tabs>
          <w:tab w:val="left" w:pos="834"/>
        </w:tabs>
        <w:spacing w:after="120"/>
        <w:ind w:firstLine="284"/>
        <w:rPr>
          <w:rFonts w:ascii="Arial" w:hAnsi="Arial" w:cs="Arial"/>
          <w:sz w:val="20"/>
          <w:szCs w:val="20"/>
        </w:rPr>
      </w:pPr>
      <w:bookmarkStart w:id="3" w:name="bookmark2"/>
      <w:bookmarkEnd w:id="3"/>
      <w:r>
        <w:rPr>
          <w:rFonts w:ascii="Arial" w:hAnsi="Arial" w:cs="Arial"/>
          <w:sz w:val="20"/>
          <w:szCs w:val="20"/>
          <w:lang w:val="en-US"/>
        </w:rPr>
        <w:t xml:space="preserve">- </w:t>
      </w:r>
      <w:r w:rsidR="007A7092" w:rsidRPr="00744A5A">
        <w:rPr>
          <w:rFonts w:ascii="Arial" w:hAnsi="Arial" w:cs="Arial"/>
          <w:sz w:val="20"/>
          <w:szCs w:val="20"/>
        </w:rPr>
        <w:t xml:space="preserve">Tại Khoản 1 Điều 2, Khoản 1 Điều 5 Thông tư số 47/2024/TT-BTC ngày 10/7/2024 của Bộ Tài chính quy định mức thu, chế độ thu, nộp, miễn, quản lý và sử dụng phí </w:t>
      </w:r>
      <w:r w:rsidR="007A7092" w:rsidRPr="00744A5A">
        <w:rPr>
          <w:rFonts w:ascii="Arial" w:hAnsi="Arial" w:cs="Arial"/>
          <w:sz w:val="20"/>
          <w:szCs w:val="20"/>
        </w:rPr>
        <w:t>khai thác, sử dụng thông tin dữ liệu đo đạc và bản đồ quy định:</w:t>
      </w:r>
    </w:p>
    <w:p w:rsidR="00924FA1" w:rsidRPr="00744A5A" w:rsidRDefault="007A7092" w:rsidP="00744A5A">
      <w:pPr>
        <w:pStyle w:val="Vnbnnidung0"/>
        <w:spacing w:after="120"/>
        <w:ind w:firstLine="284"/>
        <w:rPr>
          <w:rFonts w:ascii="Arial" w:hAnsi="Arial" w:cs="Arial"/>
          <w:sz w:val="20"/>
          <w:szCs w:val="20"/>
        </w:rPr>
      </w:pPr>
      <w:r w:rsidRPr="00744A5A">
        <w:rPr>
          <w:rFonts w:ascii="Arial" w:hAnsi="Arial" w:cs="Arial"/>
          <w:b/>
          <w:bCs/>
          <w:i/>
          <w:iCs/>
          <w:sz w:val="20"/>
          <w:szCs w:val="20"/>
        </w:rPr>
        <w:t>“Điều 2. Tổ chức thu phí và người nộp phí</w:t>
      </w:r>
    </w:p>
    <w:p w:rsidR="00924FA1" w:rsidRPr="00744A5A" w:rsidRDefault="007A7092" w:rsidP="00744A5A">
      <w:pPr>
        <w:pStyle w:val="Vnbnnidung0"/>
        <w:spacing w:after="120"/>
        <w:ind w:firstLine="284"/>
        <w:rPr>
          <w:rFonts w:ascii="Arial" w:hAnsi="Arial" w:cs="Arial"/>
          <w:sz w:val="20"/>
          <w:szCs w:val="20"/>
        </w:rPr>
      </w:pPr>
      <w:r w:rsidRPr="00744A5A">
        <w:rPr>
          <w:rFonts w:ascii="Arial" w:hAnsi="Arial" w:cs="Arial"/>
          <w:i/>
          <w:iCs/>
          <w:sz w:val="20"/>
          <w:szCs w:val="20"/>
        </w:rPr>
        <w:t xml:space="preserve">1. Tố chức thu phí theo quy định tại Thông tư này là cơ quan nhà nước, đơn vị sự nghiệp công lập có thẩm quyền cung cấp thông tin, dữ liệu đo đạc và </w:t>
      </w:r>
      <w:r w:rsidRPr="00744A5A">
        <w:rPr>
          <w:rFonts w:ascii="Arial" w:hAnsi="Arial" w:cs="Arial"/>
          <w:i/>
          <w:iCs/>
          <w:sz w:val="20"/>
          <w:szCs w:val="20"/>
        </w:rPr>
        <w:t>bản đồ là tài sản công theo quy định của pháp luật về đo đạc và bản đồ.</w:t>
      </w:r>
    </w:p>
    <w:p w:rsidR="00924FA1" w:rsidRPr="00744A5A" w:rsidRDefault="007A7092" w:rsidP="00744A5A">
      <w:pPr>
        <w:pStyle w:val="Vnbnnidung0"/>
        <w:spacing w:after="120"/>
        <w:ind w:firstLine="284"/>
        <w:rPr>
          <w:rFonts w:ascii="Arial" w:hAnsi="Arial" w:cs="Arial"/>
          <w:sz w:val="20"/>
          <w:szCs w:val="20"/>
        </w:rPr>
      </w:pPr>
      <w:r w:rsidRPr="00744A5A">
        <w:rPr>
          <w:rFonts w:ascii="Arial" w:hAnsi="Arial" w:cs="Arial"/>
          <w:b/>
          <w:bCs/>
          <w:i/>
          <w:iCs/>
          <w:sz w:val="20"/>
          <w:szCs w:val="20"/>
        </w:rPr>
        <w:t>...Điều 5. Quản lý và sử dụng phí</w:t>
      </w:r>
    </w:p>
    <w:p w:rsidR="00924FA1" w:rsidRPr="00744A5A" w:rsidRDefault="007A7092" w:rsidP="00744A5A">
      <w:pPr>
        <w:pStyle w:val="Vnbnnidung0"/>
        <w:spacing w:after="120"/>
        <w:ind w:firstLine="284"/>
        <w:rPr>
          <w:rFonts w:ascii="Arial" w:hAnsi="Arial" w:cs="Arial"/>
          <w:sz w:val="20"/>
          <w:szCs w:val="20"/>
        </w:rPr>
      </w:pPr>
      <w:r w:rsidRPr="00744A5A">
        <w:rPr>
          <w:rFonts w:ascii="Arial" w:hAnsi="Arial" w:cs="Arial"/>
          <w:i/>
          <w:iCs/>
          <w:sz w:val="20"/>
          <w:szCs w:val="20"/>
        </w:rPr>
        <w:t>1. Tổ chức thu phí được trích để lại 60% số tiền phí thu được để trang trải chi phí hoạt động cung cấp dịch vụ, thu phí và nộp 40% số tiền phí thu đượ</w:t>
      </w:r>
      <w:r w:rsidRPr="00744A5A">
        <w:rPr>
          <w:rFonts w:ascii="Arial" w:hAnsi="Arial" w:cs="Arial"/>
          <w:i/>
          <w:iCs/>
          <w:sz w:val="20"/>
          <w:szCs w:val="20"/>
        </w:rPr>
        <w:t>c vào ngân sách nhà nước; trừ trường hợp quy định tại khoản 2 Điều này. Tổ chức thu phí thực hiện quản lý và sử dụng số tiền phí được để lại theo quy định tại khoản 4 Điều 1 Nghị định số 82/2023/NĐ-CP ngày 28 ngày 11 năm 2023 của Chính phủ sửa đổi, bổ sung</w:t>
      </w:r>
      <w:r w:rsidRPr="00744A5A">
        <w:rPr>
          <w:rFonts w:ascii="Arial" w:hAnsi="Arial" w:cs="Arial"/>
          <w:i/>
          <w:iCs/>
          <w:sz w:val="20"/>
          <w:szCs w:val="20"/>
        </w:rPr>
        <w:t xml:space="preserve"> một số điều của Nghị định số 120/2016/NĐ-CP ngày 23 tháng 8 năm 2016 của Chính phủ quy định chi tiết và hướng dân thi hành một số điều của Luật Phí và lệ phí.”</w:t>
      </w:r>
    </w:p>
    <w:p w:rsidR="00924FA1" w:rsidRPr="00744A5A" w:rsidRDefault="007A7092" w:rsidP="00744A5A">
      <w:pPr>
        <w:pStyle w:val="Vnbnnidung0"/>
        <w:spacing w:after="120"/>
        <w:ind w:firstLine="284"/>
        <w:rPr>
          <w:rFonts w:ascii="Arial" w:hAnsi="Arial" w:cs="Arial"/>
          <w:sz w:val="20"/>
          <w:szCs w:val="20"/>
        </w:rPr>
      </w:pPr>
      <w:r w:rsidRPr="00744A5A">
        <w:rPr>
          <w:rFonts w:ascii="Arial" w:hAnsi="Arial" w:cs="Arial"/>
          <w:sz w:val="20"/>
          <w:szCs w:val="20"/>
        </w:rPr>
        <w:t>Căn cứ các hướng dẫn nêu trên; Trung tâm công nghệ thông tin tài nguyên và môi trường có chức n</w:t>
      </w:r>
      <w:r w:rsidRPr="00744A5A">
        <w:rPr>
          <w:rFonts w:ascii="Arial" w:hAnsi="Arial" w:cs="Arial"/>
          <w:sz w:val="20"/>
          <w:szCs w:val="20"/>
        </w:rPr>
        <w:t>ăng, nhiệm vụ tổ chức quản lý, lưu trữ, bảo quản, cung cấp, khai thác, sử dụng, thu phí khai thác, sử dụng về thông tin, tư liệu tổng hợp về tài nguyên và môi trường theo Quyết định số 415/QĐ-UBND ngày 10/3/2022 của UBND tỉnh Sơn La về việc quy định chức n</w:t>
      </w:r>
      <w:r w:rsidRPr="00744A5A">
        <w:rPr>
          <w:rFonts w:ascii="Arial" w:hAnsi="Arial" w:cs="Arial"/>
          <w:sz w:val="20"/>
          <w:szCs w:val="20"/>
        </w:rPr>
        <w:t xml:space="preserve">ăng, nhiệm vụ, quyền hạn và cơ cấu, tổ chức của Trung tâm công nghệ thông tin tài nguyên và môi trường trực thuộc Sở Tài nguyên và Môi trường </w:t>
      </w:r>
      <w:r w:rsidRPr="00744A5A">
        <w:rPr>
          <w:rFonts w:ascii="Arial" w:hAnsi="Arial" w:cs="Arial"/>
          <w:sz w:val="20"/>
          <w:szCs w:val="20"/>
        </w:rPr>
        <w:lastRenderedPageBreak/>
        <w:t>được thu phí, lệ phí theo tham quyền thì thực hiện việc trích để lại và nộp vào ngân sách Nhà nước số tiền phí, lệ</w:t>
      </w:r>
      <w:r w:rsidRPr="00744A5A">
        <w:rPr>
          <w:rFonts w:ascii="Arial" w:hAnsi="Arial" w:cs="Arial"/>
          <w:sz w:val="20"/>
          <w:szCs w:val="20"/>
        </w:rPr>
        <w:t xml:space="preserve"> phí đã thu như sau:</w:t>
      </w:r>
    </w:p>
    <w:p w:rsidR="00924FA1" w:rsidRPr="00744A5A" w:rsidRDefault="00744A5A" w:rsidP="00744A5A">
      <w:pPr>
        <w:pStyle w:val="Vnbnnidung0"/>
        <w:tabs>
          <w:tab w:val="left" w:pos="840"/>
        </w:tabs>
        <w:spacing w:after="120"/>
        <w:ind w:firstLine="284"/>
        <w:rPr>
          <w:rFonts w:ascii="Arial" w:hAnsi="Arial" w:cs="Arial"/>
          <w:sz w:val="20"/>
          <w:szCs w:val="20"/>
        </w:rPr>
      </w:pPr>
      <w:bookmarkStart w:id="4" w:name="bookmark3"/>
      <w:bookmarkEnd w:id="4"/>
      <w:r>
        <w:rPr>
          <w:rFonts w:ascii="Arial" w:hAnsi="Arial" w:cs="Arial"/>
          <w:sz w:val="20"/>
          <w:szCs w:val="20"/>
          <w:lang w:val="en-US"/>
        </w:rPr>
        <w:t xml:space="preserve">- </w:t>
      </w:r>
      <w:r w:rsidR="007A7092" w:rsidRPr="00744A5A">
        <w:rPr>
          <w:rFonts w:ascii="Arial" w:hAnsi="Arial" w:cs="Arial"/>
          <w:sz w:val="20"/>
          <w:szCs w:val="20"/>
        </w:rPr>
        <w:t>Đối với Phí khai thác và sử dụng dữ liệu về môi trường thực hiện theo quy định tại Thông tư số 65/2023/TT-BTC ngày 31/10/2023 của Bộ Tài chính quy định mức thu, chế độ thu, nộp, quản lý và sử dụng phí khai thác và sử dụng dữ liệu về mô</w:t>
      </w:r>
      <w:r w:rsidR="007A7092" w:rsidRPr="00744A5A">
        <w:rPr>
          <w:rFonts w:ascii="Arial" w:hAnsi="Arial" w:cs="Arial"/>
          <w:sz w:val="20"/>
          <w:szCs w:val="20"/>
        </w:rPr>
        <w:t xml:space="preserve">i trường </w:t>
      </w:r>
      <w:r w:rsidR="007A7092" w:rsidRPr="00744A5A">
        <w:rPr>
          <w:rFonts w:ascii="Arial" w:hAnsi="Arial" w:cs="Arial"/>
          <w:i/>
          <w:iCs/>
          <w:sz w:val="20"/>
          <w:szCs w:val="20"/>
        </w:rPr>
        <w:t>(có hiệu lực kể từ ngày 15/12/2023).</w:t>
      </w:r>
    </w:p>
    <w:p w:rsidR="00924FA1" w:rsidRPr="00744A5A" w:rsidRDefault="00744A5A" w:rsidP="00744A5A">
      <w:pPr>
        <w:pStyle w:val="Vnbnnidung0"/>
        <w:tabs>
          <w:tab w:val="left" w:pos="840"/>
        </w:tabs>
        <w:spacing w:after="120"/>
        <w:ind w:firstLine="284"/>
        <w:rPr>
          <w:rFonts w:ascii="Arial" w:hAnsi="Arial" w:cs="Arial"/>
          <w:sz w:val="20"/>
          <w:szCs w:val="20"/>
        </w:rPr>
      </w:pPr>
      <w:bookmarkStart w:id="5" w:name="bookmark4"/>
      <w:bookmarkEnd w:id="5"/>
      <w:r>
        <w:rPr>
          <w:rFonts w:ascii="Arial" w:hAnsi="Arial" w:cs="Arial"/>
          <w:sz w:val="20"/>
          <w:szCs w:val="20"/>
          <w:lang w:val="en-US"/>
        </w:rPr>
        <w:t xml:space="preserve">- </w:t>
      </w:r>
      <w:r w:rsidR="007A7092" w:rsidRPr="00744A5A">
        <w:rPr>
          <w:rFonts w:ascii="Arial" w:hAnsi="Arial" w:cs="Arial"/>
          <w:sz w:val="20"/>
          <w:szCs w:val="20"/>
        </w:rPr>
        <w:t>Đối vơi Phí khai thác và sử dụng tài liệu địa chất, khoáng sản thực hiện theo quy định tại Thông tư số 11/2024/TT-BTC ngày 05/02/2024 của Bộ Tài chính quy định mức thu, chế độ thu, nộp, quản lý và sử dụng phí k</w:t>
      </w:r>
      <w:r w:rsidR="007A7092" w:rsidRPr="00744A5A">
        <w:rPr>
          <w:rFonts w:ascii="Arial" w:hAnsi="Arial" w:cs="Arial"/>
          <w:sz w:val="20"/>
          <w:szCs w:val="20"/>
        </w:rPr>
        <w:t xml:space="preserve">hai thác và sử dụng tài liệu địa chất, khoáng sản </w:t>
      </w:r>
      <w:r w:rsidR="007A7092" w:rsidRPr="00744A5A">
        <w:rPr>
          <w:rFonts w:ascii="Arial" w:hAnsi="Arial" w:cs="Arial"/>
          <w:i/>
          <w:iCs/>
          <w:sz w:val="20"/>
          <w:szCs w:val="20"/>
        </w:rPr>
        <w:t>(có hiệu lực kể từ ngày 21/3/2024).</w:t>
      </w:r>
    </w:p>
    <w:p w:rsidR="00924FA1" w:rsidRPr="00744A5A" w:rsidRDefault="00744A5A" w:rsidP="00744A5A">
      <w:pPr>
        <w:pStyle w:val="Vnbnnidung0"/>
        <w:tabs>
          <w:tab w:val="left" w:pos="840"/>
        </w:tabs>
        <w:spacing w:after="120"/>
        <w:ind w:firstLine="284"/>
        <w:rPr>
          <w:rFonts w:ascii="Arial" w:hAnsi="Arial" w:cs="Arial"/>
          <w:sz w:val="20"/>
          <w:szCs w:val="20"/>
        </w:rPr>
      </w:pPr>
      <w:bookmarkStart w:id="6" w:name="bookmark5"/>
      <w:bookmarkEnd w:id="6"/>
      <w:r>
        <w:rPr>
          <w:rFonts w:ascii="Arial" w:hAnsi="Arial" w:cs="Arial"/>
          <w:sz w:val="20"/>
          <w:szCs w:val="20"/>
          <w:lang w:val="en-US"/>
        </w:rPr>
        <w:t xml:space="preserve">- </w:t>
      </w:r>
      <w:r w:rsidR="007A7092" w:rsidRPr="00744A5A">
        <w:rPr>
          <w:rFonts w:ascii="Arial" w:hAnsi="Arial" w:cs="Arial"/>
          <w:sz w:val="20"/>
          <w:szCs w:val="20"/>
        </w:rPr>
        <w:t>Đối với Phí khai thác, sử dụng thông tin dữ liệu đo đạc và bản đồ thực hiện theo quy định tại Thông tư số 47/2024/TT-BTC ngày 10/7/2024 của Bộ Tài chính quy định mức thu,</w:t>
      </w:r>
      <w:r w:rsidR="007A7092" w:rsidRPr="00744A5A">
        <w:rPr>
          <w:rFonts w:ascii="Arial" w:hAnsi="Arial" w:cs="Arial"/>
          <w:sz w:val="20"/>
          <w:szCs w:val="20"/>
        </w:rPr>
        <w:t xml:space="preserve"> chế độ thu, nộp, miễn, quản lý và sử dụng phí khai thác, sử dụng thông tin dữ liệu đo đạc và bản đồ </w:t>
      </w:r>
      <w:r w:rsidR="007A7092" w:rsidRPr="00744A5A">
        <w:rPr>
          <w:rFonts w:ascii="Arial" w:hAnsi="Arial" w:cs="Arial"/>
          <w:i/>
          <w:iCs/>
          <w:sz w:val="20"/>
          <w:szCs w:val="20"/>
        </w:rPr>
        <w:t>(có hiệu lực kể từ ngày 01/9/2024).</w:t>
      </w:r>
    </w:p>
    <w:p w:rsidR="00924FA1" w:rsidRDefault="007A7092" w:rsidP="00744A5A">
      <w:pPr>
        <w:pStyle w:val="Vnbnnidung0"/>
        <w:spacing w:after="120"/>
        <w:ind w:firstLine="284"/>
        <w:rPr>
          <w:rFonts w:ascii="Arial" w:hAnsi="Arial" w:cs="Arial"/>
          <w:sz w:val="20"/>
          <w:szCs w:val="20"/>
        </w:rPr>
      </w:pPr>
      <w:r w:rsidRPr="00744A5A">
        <w:rPr>
          <w:rFonts w:ascii="Arial" w:hAnsi="Arial" w:cs="Arial"/>
          <w:sz w:val="20"/>
          <w:szCs w:val="20"/>
        </w:rPr>
        <w:t>Cục Thuế trả lời để Trung tâm công nghệ thông tin tài nguyên và môi trường biết và thực hiện./.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476"/>
      </w:tblGrid>
      <w:tr w:rsidR="00744A5A" w:rsidTr="0035127F">
        <w:tc>
          <w:tcPr>
            <w:tcW w:w="4476" w:type="dxa"/>
          </w:tcPr>
          <w:p w:rsidR="00744A5A" w:rsidRDefault="00744A5A" w:rsidP="0035127F">
            <w:pPr>
              <w:pStyle w:val="Vnbnnidung20"/>
              <w:rPr>
                <w:rFonts w:ascii="Arial" w:hAnsi="Arial" w:cs="Arial"/>
                <w:sz w:val="20"/>
                <w:szCs w:val="20"/>
              </w:rPr>
            </w:pPr>
            <w:r w:rsidRPr="003E22C4">
              <w:rPr>
                <w:rFonts w:ascii="Arial" w:hAnsi="Arial" w:cs="Arial"/>
                <w:b/>
                <w:bCs/>
                <w:i/>
                <w:iCs/>
                <w:sz w:val="20"/>
                <w:szCs w:val="20"/>
              </w:rPr>
              <w:t>Nơi nhận:</w:t>
            </w:r>
          </w:p>
          <w:p w:rsidR="00744A5A" w:rsidRPr="00744A5A" w:rsidRDefault="00744A5A" w:rsidP="00744A5A">
            <w:pPr>
              <w:pStyle w:val="Vnbnnidung20"/>
              <w:tabs>
                <w:tab w:val="left" w:pos="255"/>
              </w:tabs>
              <w:rPr>
                <w:rFonts w:ascii="Arial" w:hAnsi="Arial" w:cs="Arial"/>
                <w:sz w:val="20"/>
                <w:szCs w:val="20"/>
              </w:rPr>
            </w:pPr>
            <w:r>
              <w:rPr>
                <w:rFonts w:ascii="Arial" w:hAnsi="Arial" w:cs="Arial"/>
                <w:sz w:val="20"/>
                <w:szCs w:val="20"/>
                <w:lang w:val="en-US"/>
              </w:rPr>
              <w:t xml:space="preserve">- </w:t>
            </w:r>
            <w:r w:rsidRPr="00744A5A">
              <w:rPr>
                <w:rFonts w:ascii="Arial" w:hAnsi="Arial" w:cs="Arial"/>
                <w:sz w:val="20"/>
                <w:szCs w:val="20"/>
              </w:rPr>
              <w:t>Như trên;</w:t>
            </w:r>
          </w:p>
          <w:p w:rsidR="00744A5A" w:rsidRPr="00744A5A" w:rsidRDefault="00744A5A" w:rsidP="00744A5A">
            <w:pPr>
              <w:pStyle w:val="Vnbnnidung20"/>
              <w:tabs>
                <w:tab w:val="left" w:pos="255"/>
              </w:tabs>
              <w:rPr>
                <w:rFonts w:ascii="Arial" w:hAnsi="Arial" w:cs="Arial"/>
                <w:sz w:val="20"/>
                <w:szCs w:val="20"/>
              </w:rPr>
            </w:pPr>
            <w:bookmarkStart w:id="7" w:name="bookmark7"/>
            <w:bookmarkEnd w:id="7"/>
            <w:r>
              <w:rPr>
                <w:rFonts w:ascii="Arial" w:hAnsi="Arial" w:cs="Arial"/>
                <w:sz w:val="20"/>
                <w:szCs w:val="20"/>
                <w:lang w:val="en-US"/>
              </w:rPr>
              <w:t xml:space="preserve">- </w:t>
            </w:r>
            <w:r w:rsidRPr="00744A5A">
              <w:rPr>
                <w:rFonts w:ascii="Arial" w:hAnsi="Arial" w:cs="Arial"/>
                <w:sz w:val="20"/>
                <w:szCs w:val="20"/>
              </w:rPr>
              <w:t>Lãnh đạo Cục Thuế;</w:t>
            </w:r>
          </w:p>
          <w:p w:rsidR="00744A5A" w:rsidRPr="00744A5A" w:rsidRDefault="00744A5A" w:rsidP="00744A5A">
            <w:pPr>
              <w:pStyle w:val="Vnbnnidung20"/>
              <w:tabs>
                <w:tab w:val="left" w:pos="255"/>
              </w:tabs>
              <w:rPr>
                <w:rFonts w:ascii="Arial" w:hAnsi="Arial" w:cs="Arial"/>
                <w:sz w:val="20"/>
                <w:szCs w:val="20"/>
              </w:rPr>
            </w:pPr>
            <w:bookmarkStart w:id="8" w:name="bookmark8"/>
            <w:bookmarkEnd w:id="8"/>
            <w:r>
              <w:rPr>
                <w:rFonts w:ascii="Arial" w:hAnsi="Arial" w:cs="Arial"/>
                <w:sz w:val="20"/>
                <w:szCs w:val="20"/>
                <w:lang w:val="en-US"/>
              </w:rPr>
              <w:t xml:space="preserve">- </w:t>
            </w:r>
            <w:r w:rsidRPr="00744A5A">
              <w:rPr>
                <w:rFonts w:ascii="Arial" w:hAnsi="Arial" w:cs="Arial"/>
                <w:sz w:val="20"/>
                <w:szCs w:val="20"/>
              </w:rPr>
              <w:t>Các phòng KK&amp;KTT, NVDTPC;</w:t>
            </w:r>
          </w:p>
          <w:p w:rsidR="00744A5A" w:rsidRPr="00744A5A" w:rsidRDefault="00744A5A" w:rsidP="00744A5A">
            <w:pPr>
              <w:pStyle w:val="Vnbnnidung20"/>
              <w:tabs>
                <w:tab w:val="left" w:pos="255"/>
              </w:tabs>
              <w:rPr>
                <w:rFonts w:ascii="Arial" w:hAnsi="Arial" w:cs="Arial"/>
                <w:sz w:val="20"/>
                <w:szCs w:val="20"/>
              </w:rPr>
            </w:pPr>
            <w:bookmarkStart w:id="9" w:name="bookmark9"/>
            <w:bookmarkEnd w:id="9"/>
            <w:r>
              <w:rPr>
                <w:rFonts w:ascii="Arial" w:hAnsi="Arial" w:cs="Arial"/>
                <w:sz w:val="20"/>
                <w:szCs w:val="20"/>
                <w:lang w:val="en-US"/>
              </w:rPr>
              <w:t xml:space="preserve">- </w:t>
            </w:r>
            <w:r w:rsidRPr="00744A5A">
              <w:rPr>
                <w:rFonts w:ascii="Arial" w:hAnsi="Arial" w:cs="Arial"/>
                <w:sz w:val="20"/>
                <w:szCs w:val="20"/>
              </w:rPr>
              <w:t>Website Cục Thuế;</w:t>
            </w:r>
          </w:p>
          <w:p w:rsidR="00744A5A" w:rsidRPr="00744A5A" w:rsidRDefault="00744A5A" w:rsidP="00744A5A">
            <w:pPr>
              <w:pStyle w:val="Vnbnnidung20"/>
              <w:tabs>
                <w:tab w:val="left" w:pos="255"/>
              </w:tabs>
              <w:spacing w:after="80"/>
              <w:rPr>
                <w:rFonts w:ascii="Arial" w:hAnsi="Arial" w:cs="Arial"/>
                <w:sz w:val="20"/>
                <w:szCs w:val="20"/>
              </w:rPr>
            </w:pPr>
            <w:bookmarkStart w:id="10" w:name="bookmark10"/>
            <w:bookmarkEnd w:id="10"/>
            <w:r>
              <w:rPr>
                <w:rFonts w:ascii="Arial" w:hAnsi="Arial" w:cs="Arial"/>
                <w:sz w:val="20"/>
                <w:szCs w:val="20"/>
                <w:lang w:val="en-US"/>
              </w:rPr>
              <w:t xml:space="preserve">- </w:t>
            </w:r>
            <w:r w:rsidRPr="00744A5A">
              <w:rPr>
                <w:rFonts w:ascii="Arial" w:hAnsi="Arial" w:cs="Arial"/>
                <w:sz w:val="20"/>
                <w:szCs w:val="20"/>
              </w:rPr>
              <w:t>Lưu: VT, TTHT.</w:t>
            </w:r>
          </w:p>
          <w:p w:rsidR="00744A5A" w:rsidRPr="0029156A" w:rsidRDefault="00744A5A" w:rsidP="0035127F">
            <w:pPr>
              <w:pStyle w:val="Vnbnnidung20"/>
              <w:tabs>
                <w:tab w:val="left" w:pos="258"/>
              </w:tabs>
              <w:spacing w:after="80"/>
              <w:rPr>
                <w:rFonts w:ascii="Arial" w:hAnsi="Arial" w:cs="Arial"/>
                <w:sz w:val="20"/>
                <w:szCs w:val="20"/>
              </w:rPr>
            </w:pPr>
          </w:p>
        </w:tc>
        <w:tc>
          <w:tcPr>
            <w:tcW w:w="4476" w:type="dxa"/>
          </w:tcPr>
          <w:p w:rsidR="00744A5A" w:rsidRPr="00143703" w:rsidRDefault="00744A5A" w:rsidP="0035127F">
            <w:pPr>
              <w:pStyle w:val="Vnbnnidung0"/>
              <w:tabs>
                <w:tab w:val="left" w:pos="4030"/>
                <w:tab w:val="left" w:leader="dot" w:pos="4198"/>
              </w:tabs>
              <w:ind w:firstLine="0"/>
              <w:jc w:val="center"/>
              <w:rPr>
                <w:rFonts w:ascii="Arial" w:hAnsi="Arial" w:cs="Arial"/>
                <w:b/>
                <w:i/>
                <w:sz w:val="20"/>
                <w:szCs w:val="20"/>
              </w:rPr>
            </w:pPr>
            <w:r w:rsidRPr="00143703">
              <w:rPr>
                <w:rFonts w:ascii="Arial" w:hAnsi="Arial" w:cs="Arial"/>
                <w:b/>
                <w:sz w:val="20"/>
                <w:szCs w:val="20"/>
                <w:lang w:val="en-US"/>
              </w:rPr>
              <w:t>KT. C</w:t>
            </w:r>
            <w:r w:rsidRPr="00143703">
              <w:rPr>
                <w:rFonts w:ascii="Arial" w:hAnsi="Arial" w:cs="Arial"/>
                <w:b/>
                <w:sz w:val="20"/>
                <w:szCs w:val="20"/>
              </w:rPr>
              <w:t>ỤC TRƯỞNG</w:t>
            </w:r>
          </w:p>
          <w:p w:rsidR="00744A5A" w:rsidRDefault="00744A5A" w:rsidP="0035127F">
            <w:pPr>
              <w:pStyle w:val="Vnbnnidung0"/>
              <w:tabs>
                <w:tab w:val="left" w:pos="4030"/>
                <w:tab w:val="left" w:leader="dot" w:pos="4198"/>
              </w:tabs>
              <w:ind w:firstLine="0"/>
              <w:jc w:val="center"/>
              <w:rPr>
                <w:rFonts w:ascii="Arial" w:hAnsi="Arial" w:cs="Arial"/>
                <w:b/>
                <w:sz w:val="20"/>
                <w:szCs w:val="20"/>
              </w:rPr>
            </w:pPr>
            <w:r w:rsidRPr="00143703">
              <w:rPr>
                <w:rFonts w:ascii="Arial" w:hAnsi="Arial" w:cs="Arial"/>
                <w:b/>
                <w:sz w:val="20"/>
                <w:szCs w:val="20"/>
                <w:lang w:val="en-US"/>
              </w:rPr>
              <w:t>PHÓ C</w:t>
            </w:r>
            <w:r w:rsidRPr="00143703">
              <w:rPr>
                <w:rFonts w:ascii="Arial" w:hAnsi="Arial" w:cs="Arial"/>
                <w:b/>
                <w:sz w:val="20"/>
                <w:szCs w:val="20"/>
              </w:rPr>
              <w:t>ỤC TRƯỞNG</w:t>
            </w:r>
          </w:p>
          <w:p w:rsidR="00744A5A" w:rsidRDefault="00744A5A" w:rsidP="0035127F">
            <w:pPr>
              <w:pStyle w:val="Vnbnnidung0"/>
              <w:tabs>
                <w:tab w:val="left" w:pos="4030"/>
                <w:tab w:val="left" w:leader="dot" w:pos="4198"/>
              </w:tabs>
              <w:ind w:firstLine="0"/>
              <w:jc w:val="center"/>
              <w:rPr>
                <w:rFonts w:ascii="Arial" w:hAnsi="Arial" w:cs="Arial"/>
                <w:b/>
                <w:sz w:val="20"/>
                <w:szCs w:val="20"/>
              </w:rPr>
            </w:pPr>
          </w:p>
          <w:p w:rsidR="00744A5A" w:rsidRPr="00D22D93" w:rsidRDefault="00744A5A" w:rsidP="0035127F">
            <w:pPr>
              <w:pStyle w:val="Vnbnnidung0"/>
              <w:tabs>
                <w:tab w:val="left" w:pos="4030"/>
                <w:tab w:val="left" w:leader="dot" w:pos="4198"/>
              </w:tabs>
              <w:spacing w:line="288" w:lineRule="auto"/>
              <w:ind w:firstLine="0"/>
              <w:jc w:val="center"/>
              <w:rPr>
                <w:rFonts w:ascii="Arial" w:hAnsi="Arial" w:cs="Arial"/>
                <w:b/>
                <w:i/>
                <w:sz w:val="20"/>
                <w:szCs w:val="20"/>
                <w:lang w:val="en-US"/>
              </w:rPr>
            </w:pPr>
            <w:r>
              <w:rPr>
                <w:rFonts w:ascii="Arial" w:hAnsi="Arial" w:cs="Arial"/>
                <w:b/>
                <w:sz w:val="20"/>
                <w:szCs w:val="20"/>
                <w:lang w:val="en-US"/>
              </w:rPr>
              <w:t>Trần Mạnh Cường</w:t>
            </w:r>
          </w:p>
        </w:tc>
      </w:tr>
    </w:tbl>
    <w:p w:rsidR="00744A5A" w:rsidRPr="00744A5A" w:rsidRDefault="00744A5A" w:rsidP="00744A5A">
      <w:pPr>
        <w:pStyle w:val="Vnbnnidung0"/>
        <w:spacing w:after="200"/>
        <w:ind w:firstLine="0"/>
        <w:jc w:val="both"/>
        <w:rPr>
          <w:rFonts w:ascii="Arial" w:hAnsi="Arial" w:cs="Arial"/>
          <w:sz w:val="20"/>
          <w:szCs w:val="20"/>
        </w:rPr>
      </w:pPr>
    </w:p>
    <w:sectPr w:rsidR="00744A5A" w:rsidRPr="00744A5A">
      <w:footerReference w:type="even" r:id="rId7"/>
      <w:footerReference w:type="default" r:id="rId8"/>
      <w:pgSz w:w="11900" w:h="16840"/>
      <w:pgMar w:top="691" w:right="977" w:bottom="628" w:left="1525"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092" w:rsidRDefault="007A7092">
      <w:r>
        <w:separator/>
      </w:r>
    </w:p>
  </w:endnote>
  <w:endnote w:type="continuationSeparator" w:id="0">
    <w:p w:rsidR="007A7092" w:rsidRDefault="007A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A1" w:rsidRDefault="007A7092">
    <w:pPr>
      <w:spacing w:line="1" w:lineRule="exact"/>
    </w:pPr>
    <w:r>
      <w:rPr>
        <w:noProof/>
        <w:lang w:val="en-US" w:eastAsia="en-US" w:bidi="ar-SA"/>
      </w:rPr>
      <mc:AlternateContent>
        <mc:Choice Requires="wps">
          <w:drawing>
            <wp:anchor distT="0" distB="0" distL="0" distR="0" simplePos="0" relativeHeight="62914692" behindDoc="1" locked="0" layoutInCell="1" allowOverlap="1">
              <wp:simplePos x="0" y="0"/>
              <wp:positionH relativeFrom="page">
                <wp:posOffset>3919855</wp:posOffset>
              </wp:positionH>
              <wp:positionV relativeFrom="page">
                <wp:posOffset>10358120</wp:posOffset>
              </wp:positionV>
              <wp:extent cx="73025" cy="109855"/>
              <wp:effectExtent l="0" t="0" r="0" b="0"/>
              <wp:wrapNone/>
              <wp:docPr id="13" name="Shape 13"/>
              <wp:cNvGraphicFramePr/>
              <a:graphic xmlns:a="http://schemas.openxmlformats.org/drawingml/2006/main">
                <a:graphicData uri="http://schemas.microsoft.com/office/word/2010/wordprocessingShape">
                  <wps:wsp>
                    <wps:cNvSpPr txBox="1"/>
                    <wps:spPr>
                      <a:xfrm>
                        <a:off x="0" y="0"/>
                        <a:ext cx="73025" cy="109855"/>
                      </a:xfrm>
                      <a:prstGeom prst="rect">
                        <a:avLst/>
                      </a:prstGeom>
                      <a:noFill/>
                    </wps:spPr>
                    <wps:txbx>
                      <w:txbxContent>
                        <w:p w:rsidR="00924FA1" w:rsidRDefault="007A7092">
                          <w:pPr>
                            <w:pStyle w:val="utranghocchntrang20"/>
                            <w:rPr>
                              <w:sz w:val="26"/>
                              <w:szCs w:val="26"/>
                            </w:rPr>
                          </w:pPr>
                          <w:r>
                            <w:rPr>
                              <w:sz w:val="26"/>
                              <w:szCs w:val="26"/>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308.65pt;margin-top:815.6pt;width:5.75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" filled="f" stroked="f">
              <v:textbox style="mso-fit-shape-to-text:t" inset="0,0,0,0">
                <w:txbxContent>
                  <w:p w:rsidR="00924FA1" w:rsidRDefault="007A7092">
                    <w:pPr>
                      <w:pStyle w:val="utranghocchntrang20"/>
                      <w:rPr>
                        <w:sz w:val="26"/>
                        <w:szCs w:val="26"/>
                      </w:rPr>
                    </w:pPr>
                    <w:r>
                      <w:rPr>
                        <w:sz w:val="26"/>
                        <w:szCs w:val="26"/>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A1" w:rsidRDefault="00924FA1">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092" w:rsidRDefault="007A7092"/>
  </w:footnote>
  <w:footnote w:type="continuationSeparator" w:id="0">
    <w:p w:rsidR="007A7092" w:rsidRDefault="007A709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11AE1"/>
    <w:multiLevelType w:val="multilevel"/>
    <w:tmpl w:val="ABC67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A1"/>
    <w:rsid w:val="00744A5A"/>
    <w:rsid w:val="007A7092"/>
    <w:rsid w:val="0092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1616"/>
  <w15:docId w15:val="{1946049C-D015-420A-B10E-29E15040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after="80"/>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pPr>
      <w:jc w:val="center"/>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table" w:styleId="TableGrid">
    <w:name w:val="Table Grid"/>
    <w:basedOn w:val="TableNormal"/>
    <w:uiPriority w:val="39"/>
    <w:rsid w:val="00744A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THUẾ</dc:title>
  <dc:subject/>
  <dc:creator>Tong Cuc Thue</dc:creator>
  <cp:keywords/>
  <cp:lastModifiedBy>Admin</cp:lastModifiedBy>
  <cp:revision>2</cp:revision>
  <dcterms:created xsi:type="dcterms:W3CDTF">2025-02-03T06:41:00Z</dcterms:created>
  <dcterms:modified xsi:type="dcterms:W3CDTF">2025-02-03T06:49:00Z</dcterms:modified>
</cp:coreProperties>
</file>